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ACCE" w14:textId="60E48AFE" w:rsidR="00D57E40" w:rsidRPr="005D7308" w:rsidRDefault="005D7308" w:rsidP="005D73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D730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RRG.271.2.27.2020 </w:t>
      </w:r>
      <w:r w:rsidRPr="005D7308"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5D7308"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5D7308"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5D7308"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5D7308"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="00390173" w:rsidRPr="005D730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Załącznik nr. </w:t>
      </w:r>
      <w:r w:rsidR="0087053E" w:rsidRPr="005D7308">
        <w:rPr>
          <w:rFonts w:eastAsia="Times New Roman" w:cstheme="minorHAnsi"/>
          <w:b/>
          <w:iCs/>
          <w:sz w:val="24"/>
          <w:szCs w:val="24"/>
          <w:lang w:eastAsia="pl-PL"/>
        </w:rPr>
        <w:t>2</w:t>
      </w:r>
      <w:r w:rsidR="00390173" w:rsidRPr="005D730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AC5BA1" w:rsidRPr="005D7308">
        <w:rPr>
          <w:rFonts w:eastAsia="Times New Roman" w:cstheme="minorHAnsi"/>
          <w:b/>
          <w:iCs/>
          <w:sz w:val="24"/>
          <w:szCs w:val="24"/>
          <w:lang w:eastAsia="pl-PL"/>
        </w:rPr>
        <w:t>do zapytania ofertowego</w:t>
      </w:r>
    </w:p>
    <w:p w14:paraId="36EDBA5D" w14:textId="6BE732DB" w:rsidR="00390173" w:rsidRPr="00E46040" w:rsidRDefault="00390173" w:rsidP="0039017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E4604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Opis przedmiotu zamówienia </w:t>
      </w:r>
    </w:p>
    <w:p w14:paraId="49B22CA8" w14:textId="7ED0CB17" w:rsidR="00BC1324" w:rsidRPr="00E46040" w:rsidRDefault="00BC1324" w:rsidP="00BC132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</w:pPr>
      <w:r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>Pracowni</w:t>
      </w:r>
      <w:r w:rsidR="00390173"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>a</w:t>
      </w:r>
      <w:r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 xml:space="preserve"> komputerow</w:t>
      </w:r>
      <w:r w:rsidR="00390173"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>a</w:t>
      </w:r>
      <w:r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 xml:space="preserve"> – </w:t>
      </w:r>
      <w:r w:rsidR="00390173"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 xml:space="preserve">terminalowa </w:t>
      </w:r>
    </w:p>
    <w:p w14:paraId="5368105B" w14:textId="77777777" w:rsidR="00BC1324" w:rsidRPr="00E46040" w:rsidRDefault="00BC1324" w:rsidP="00BC132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</w:pPr>
      <w:r w:rsidRPr="00E46040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pl-PL"/>
        </w:rPr>
        <w:t>24 stanowiska uczniowskie plus stanowisko nauczyciela</w:t>
      </w:r>
    </w:p>
    <w:p w14:paraId="07213A14" w14:textId="789889D4" w:rsidR="00C22106" w:rsidRPr="00E46040" w:rsidRDefault="007D1998" w:rsidP="00A2382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Serwer usług terminalowych</w:t>
      </w:r>
      <w:r w:rsid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46040"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szt.</w:t>
      </w:r>
      <w:r w:rsid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>o parametrach nie gorszych niż:</w:t>
      </w:r>
    </w:p>
    <w:p w14:paraId="0C10376F" w14:textId="0E963A10" w:rsidR="00C22106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 xml:space="preserve">Procesor: posiadający  minimum  8 rdzeni i 16 wątków oraz taktowaniu 3.6 GHz, przy czym procesor osiągający  min 17 310  pkt. w teście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PassMark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High End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CPUs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 </w:t>
      </w:r>
      <w:hyperlink r:id="rId7" w:history="1">
        <w:r w:rsidR="00E46040" w:rsidRPr="00DB3335">
          <w:rPr>
            <w:rStyle w:val="Hipercze"/>
            <w:rFonts w:cstheme="minorHAnsi"/>
            <w:sz w:val="24"/>
            <w:szCs w:val="24"/>
            <w:lang w:eastAsia="pl-PL"/>
          </w:rPr>
          <w:t>http://cpubenchmark.net/cpu_list.php</w:t>
        </w:r>
      </w:hyperlink>
      <w:r w:rsidR="00E46040">
        <w:rPr>
          <w:rFonts w:cstheme="minorHAnsi"/>
          <w:sz w:val="24"/>
          <w:szCs w:val="24"/>
          <w:lang w:eastAsia="pl-PL"/>
        </w:rPr>
        <w:t xml:space="preserve"> </w:t>
      </w:r>
      <w:r w:rsidRPr="00E46040">
        <w:rPr>
          <w:rFonts w:cstheme="minorHAnsi"/>
          <w:sz w:val="24"/>
          <w:szCs w:val="24"/>
          <w:lang w:eastAsia="pl-PL"/>
        </w:rPr>
        <w:t>wraz z chłodzeniem uwzględniającym pełną wydajność procesora. Płyta główna: kompatybilna z procesorem . Maksymalna liczba kanałów pamięci 2; maksymalna liczba modułów pamięci DIMM 4; obsługa pamięci non - ECC DDR4 oraz  DDR4; maksymalna wielkość pamięci (w zależności od rodzaju pamięci)  128GB;</w:t>
      </w:r>
      <w:r w:rsidR="00A2382E">
        <w:rPr>
          <w:rFonts w:cstheme="minorHAnsi"/>
          <w:sz w:val="24"/>
          <w:szCs w:val="24"/>
          <w:lang w:eastAsia="pl-PL"/>
        </w:rPr>
        <w:t xml:space="preserve"> </w:t>
      </w:r>
      <w:r w:rsidRPr="00E46040">
        <w:rPr>
          <w:rFonts w:cstheme="minorHAnsi"/>
          <w:sz w:val="24"/>
          <w:szCs w:val="24"/>
          <w:lang w:eastAsia="pl-PL"/>
        </w:rPr>
        <w:t>liczba portów USB 8; wersja USB 2x2.0 i 6x3.1 bez uwzględnienia przejściówek i adapterów,  LAN 5x1GbE bez uwzględnienia dodatkowej karty sieciowej lub adapterów. W tym jedno złącze przeznaczone do zdalnego zarządzania. Na płycie zintegrowane min. 2 złącza M.2 z możliwością konfiguracji RADI 0,1. Obudowa wyposażona w klatkę Hot-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Swap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z możliwością montażu min. 4 dysków 2,5”/3,5”. Obudowa z opcją dołożenia drugiej klatki Hot-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Swap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min. 4 dyski 2,5”/3,5” </w:t>
      </w:r>
    </w:p>
    <w:p w14:paraId="652B4B41" w14:textId="77777777" w:rsidR="00C22106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 xml:space="preserve">Pamięć RAM: 4x 16GB DIMM DDR4 Dual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Rank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2400 MHz </w:t>
      </w:r>
    </w:p>
    <w:p w14:paraId="48F2E3B7" w14:textId="77777777" w:rsidR="00C22106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 xml:space="preserve">Dysk twardy: 1x 500GB SSD,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PCIe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NVMe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3.0x4 </w:t>
      </w:r>
    </w:p>
    <w:p w14:paraId="2916BAEC" w14:textId="77777777" w:rsidR="00C22106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 xml:space="preserve">Dysk twardy:1TB HDD SATA III - 6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Gb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/s7200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obr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>/min128 MB</w:t>
      </w:r>
    </w:p>
    <w:p w14:paraId="680DC899" w14:textId="77777777" w:rsidR="00C22106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>Karta dźwiękowa: wbudowana</w:t>
      </w:r>
    </w:p>
    <w:p w14:paraId="0D33EB09" w14:textId="0A2A1AC6" w:rsidR="007D1998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 xml:space="preserve">Karta graficzna: zainstalowana pamięć wideo 6144MB, Częstotliwość RAMDAC 400 MHz, Taktowanie rdzenia 1785 MHz, Taktowanie pamięci (rzeczywiste) 4000MHz, Taktowanie pamięci (efektywne) 8000 MHz, Maksymalna rozdzielczość obrazu 7680 x 4320 pikseli, Typ złącza magistrali PCI-E 16x/ Złącze DVI 1 szt./ Złącze HDMI 1 szt./ Złącze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DsiplayPort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1szt. Obudowa: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tower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z możliwością instalacji w szafie RACK dzięki dedykowanym szynom. Obudowa z wbudowanym zasilaczem serwerowy, o sprawności GOLD min 500W, posiadająca wentylator 120mm;</w:t>
      </w:r>
      <w:r w:rsidR="00B976B7">
        <w:rPr>
          <w:rFonts w:cstheme="minorHAnsi"/>
          <w:sz w:val="24"/>
          <w:szCs w:val="24"/>
          <w:lang w:eastAsia="pl-PL"/>
        </w:rPr>
        <w:t xml:space="preserve"> </w:t>
      </w:r>
      <w:r w:rsidRPr="00E46040">
        <w:rPr>
          <w:rFonts w:cstheme="minorHAnsi"/>
          <w:sz w:val="24"/>
          <w:szCs w:val="24"/>
          <w:lang w:eastAsia="pl-PL"/>
        </w:rPr>
        <w:t xml:space="preserve">liczba </w:t>
      </w:r>
      <w:proofErr w:type="spellStart"/>
      <w:r w:rsidRPr="00E46040">
        <w:rPr>
          <w:rFonts w:cstheme="minorHAnsi"/>
          <w:sz w:val="24"/>
          <w:szCs w:val="24"/>
          <w:lang w:eastAsia="pl-PL"/>
        </w:rPr>
        <w:t>wew</w:t>
      </w:r>
      <w:proofErr w:type="spellEnd"/>
      <w:r w:rsidRPr="00E46040">
        <w:rPr>
          <w:rFonts w:cstheme="minorHAnsi"/>
          <w:sz w:val="24"/>
          <w:szCs w:val="24"/>
          <w:lang w:eastAsia="pl-PL"/>
        </w:rPr>
        <w:t xml:space="preserve"> zatok 3,5” 4x; liczba zewnętrznych zatok 5,25” 2x; miejsca na karty rozszerzeń 5; dodatkowo diody sygnalizujące pracę dysku, karty sieciowej, zdejmowany panel boczny; liczba USB na przednim panelu  2x3.0, kolor czarny Obudowa z zamykanymi drzwiami frontowymi z dedykowanym kluczykiem do zabezpieczenia frontu obudowy. </w:t>
      </w:r>
    </w:p>
    <w:p w14:paraId="0FC31171" w14:textId="77777777" w:rsidR="00C22106" w:rsidRPr="00E46040" w:rsidRDefault="00C22106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14:paraId="2580E549" w14:textId="354DF12D" w:rsidR="00A9055E" w:rsidRPr="00E46040" w:rsidRDefault="00A9055E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Licencja na najnowszy system operacyjny do serwera Microsoft Windows Server 2019 Standard  </w:t>
      </w:r>
      <w:r w:rsidR="00E46040"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1szt</w:t>
      </w:r>
      <w:r w:rsidR="00E46040">
        <w:rPr>
          <w:rFonts w:eastAsia="Times New Roman" w:cstheme="minorHAnsi"/>
          <w:color w:val="333333"/>
          <w:sz w:val="24"/>
          <w:szCs w:val="24"/>
          <w:lang w:eastAsia="pl-PL"/>
        </w:rPr>
        <w:t>. na wszystkie rdzenie oferowanego procesora</w:t>
      </w:r>
      <w:r w:rsidR="00B976B7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5CE8E674" w14:textId="1462FF99" w:rsidR="00A9055E" w:rsidRPr="00E46040" w:rsidRDefault="00A9055E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Licencja dostępowa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WinRmtDsktpSrvcsCAL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2019 SNGL OLP NL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Acdmc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DvcCAL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–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25 sztuk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6DDDCE2C" w14:textId="11091DBE" w:rsidR="00A9055E" w:rsidRPr="00E46040" w:rsidRDefault="00A9055E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Licencja dostępowa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WinSvrCAL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2019 SNGL OLP NL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Acdmc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DvcCAL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–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24 sztuki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713B6C9C" w14:textId="5273B6F1" w:rsidR="00A9055E" w:rsidRPr="00E46040" w:rsidRDefault="00A9055E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Oprogramowanie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NetSupport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School </w:t>
      </w:r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v14 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 zarządzania komputerami w pracowni –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25 sztuk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2856AA6B" w14:textId="3C53273B" w:rsidR="00C22106" w:rsidRPr="00E46040" w:rsidRDefault="00A9055E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Zestaw terminali komputerowych</w:t>
      </w:r>
      <w:r w:rsidR="00C22106" w:rsidRPr="00E46040">
        <w:rPr>
          <w:rFonts w:cstheme="minorHAnsi"/>
          <w:sz w:val="24"/>
          <w:szCs w:val="24"/>
        </w:rPr>
        <w:t xml:space="preserve"> Terminal </w:t>
      </w:r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Architektura sprzętowa - </w:t>
      </w:r>
      <w:proofErr w:type="spellStart"/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>SoC</w:t>
      </w:r>
      <w:proofErr w:type="spellEnd"/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zaprojektowany przez producenta urządzenia, wbudowane oprogramowanie operacyjne do zarządzania i administrowania. Oprogramowanie producenta terminala  zapewnia elastyczne wsparcie systemu operacyjnego oraz bezpieczny </w:t>
      </w:r>
      <w:proofErr w:type="spellStart"/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>roaming</w:t>
      </w:r>
      <w:proofErr w:type="spellEnd"/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pulpitu</w:t>
      </w:r>
      <w:r w:rsid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C22106" w:rsidRPr="00E46040">
        <w:rPr>
          <w:rFonts w:cstheme="minorHAnsi"/>
          <w:sz w:val="24"/>
          <w:szCs w:val="24"/>
          <w:lang w:eastAsia="pl-PL"/>
        </w:rPr>
        <w:t>Dedykowane oprogramowanie pracujące na serwerze (dostarczone przez producenta terminala) zapewniające  funkcjonalności:</w:t>
      </w:r>
    </w:p>
    <w:p w14:paraId="557CDCAA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>Wgląd w działanie systemu operacyjnego, procesora, pamięci, w przechowywanie danych, połączenie z siecią oraz inne znaczące parametry pracy serwera;</w:t>
      </w:r>
    </w:p>
    <w:p w14:paraId="2A74C871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Autoryzacja użytkowników – nadawanie uprawnień dostępu do poszczególnych zasobów na serwerze;</w:t>
      </w:r>
    </w:p>
    <w:p w14:paraId="3970B83E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Wykrywanie terminali oraz peryferii  USB w sieci;</w:t>
      </w:r>
    </w:p>
    <w:p w14:paraId="4927E0D9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Monitorowanie i kontrola stanowisk użytkowników końcowych;</w:t>
      </w:r>
    </w:p>
    <w:p w14:paraId="65C4D582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Konfigurowanie dźwięku, rozdzielczości, obrazu itp. zdalnie na terminalach</w:t>
      </w:r>
      <w:r w:rsidR="00B976B7">
        <w:rPr>
          <w:rFonts w:cstheme="minorHAnsi"/>
          <w:sz w:val="24"/>
          <w:szCs w:val="24"/>
          <w:lang w:eastAsia="pl-PL"/>
        </w:rPr>
        <w:t>;</w:t>
      </w:r>
    </w:p>
    <w:p w14:paraId="5224259A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Udostępnianie pulpitu użytkownikom;</w:t>
      </w:r>
    </w:p>
    <w:p w14:paraId="5F9D03E2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Kontrola prywatności zasobów dla poszczególnych użytkowników;</w:t>
      </w:r>
    </w:p>
    <w:p w14:paraId="0FDD31E1" w14:textId="77777777" w:rsid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Umożliwienie komunikacji między administratorem a użytkownikiem końcowym – czat;</w:t>
      </w:r>
    </w:p>
    <w:p w14:paraId="1119F375" w14:textId="5E697C94" w:rsidR="00C22106" w:rsidRPr="00B976B7" w:rsidRDefault="00C22106" w:rsidP="00A2382E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B976B7">
        <w:rPr>
          <w:rFonts w:cstheme="minorHAnsi"/>
          <w:sz w:val="24"/>
          <w:szCs w:val="24"/>
          <w:lang w:eastAsia="pl-PL"/>
        </w:rPr>
        <w:t>Monitoring działań administratorów i użytkowników;</w:t>
      </w:r>
    </w:p>
    <w:p w14:paraId="45688E51" w14:textId="77777777" w:rsidR="00B976B7" w:rsidRDefault="00B976B7" w:rsidP="00A2382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14:paraId="221994D6" w14:textId="63A2ECF1" w:rsidR="00C22106" w:rsidRDefault="00B976B7" w:rsidP="00A2382E">
      <w:pPr>
        <w:pStyle w:val="Bezodstpw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cstheme="minorHAnsi"/>
          <w:sz w:val="24"/>
          <w:szCs w:val="24"/>
          <w:lang w:eastAsia="pl-PL"/>
        </w:rPr>
        <w:t>Złącza</w:t>
      </w:r>
      <w:r w:rsidR="00C22106" w:rsidRPr="00E46040">
        <w:rPr>
          <w:rFonts w:cstheme="minorHAnsi"/>
          <w:sz w:val="24"/>
          <w:szCs w:val="24"/>
          <w:lang w:eastAsia="pl-PL"/>
        </w:rPr>
        <w:t xml:space="preserve"> terminala 1xHDMI, 1xVGA, 4xUSB 2.0, Sieć: 1xRJ45, Audio: oddzielne wejście 1x 3,5mm audio </w:t>
      </w:r>
      <w:proofErr w:type="spellStart"/>
      <w:r w:rsidR="00C22106" w:rsidRPr="00E46040">
        <w:rPr>
          <w:rFonts w:cstheme="minorHAnsi"/>
          <w:sz w:val="24"/>
          <w:szCs w:val="24"/>
          <w:lang w:eastAsia="pl-PL"/>
        </w:rPr>
        <w:t>input</w:t>
      </w:r>
      <w:proofErr w:type="spellEnd"/>
      <w:r w:rsidR="00C22106" w:rsidRPr="00E46040">
        <w:rPr>
          <w:rFonts w:cstheme="minorHAnsi"/>
          <w:sz w:val="24"/>
          <w:szCs w:val="24"/>
          <w:lang w:eastAsia="pl-PL"/>
        </w:rPr>
        <w:t xml:space="preserve">, oraz oddzielne wyjście 1x3.5mm audio </w:t>
      </w:r>
      <w:proofErr w:type="spellStart"/>
      <w:r w:rsidR="00C22106" w:rsidRPr="00E46040">
        <w:rPr>
          <w:rFonts w:cstheme="minorHAnsi"/>
          <w:sz w:val="24"/>
          <w:szCs w:val="24"/>
          <w:lang w:eastAsia="pl-PL"/>
        </w:rPr>
        <w:t>output</w:t>
      </w:r>
      <w:proofErr w:type="spellEnd"/>
      <w:r w:rsidR="00C22106" w:rsidRPr="00E46040">
        <w:rPr>
          <w:rFonts w:cstheme="minorHAnsi"/>
          <w:sz w:val="24"/>
          <w:szCs w:val="24"/>
          <w:lang w:eastAsia="pl-PL"/>
        </w:rPr>
        <w:t xml:space="preserve"> </w:t>
      </w:r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>1×5V zasilanie DC in,  1× włącznik/reset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7E8BF2D7" w14:textId="7C68D76D" w:rsidR="00E46040" w:rsidRPr="00E46040" w:rsidRDefault="00E46040" w:rsidP="00A2382E">
      <w:pPr>
        <w:pStyle w:val="Bezodstpw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Możliwość działania na systemach  operacyjnych Microsoft Windows Pro 32bits 7, 8 ,8.1&amp; 10 (nie licząc licencji Starter, Home Basic i edycje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Insider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),Windows Server Standard  2003 32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bits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, 2008R2, 2012, 2012R2, 2016,201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;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Multipoint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Server 2011, 2012, 2016</w:t>
      </w:r>
      <w:r w:rsidR="00B976B7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0FC29BFA" w14:textId="4E306DF4" w:rsidR="00A9055E" w:rsidRDefault="00E46040" w:rsidP="00A2382E">
      <w:pPr>
        <w:pStyle w:val="Bezodstpw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Oprogramowanie użytkownika obsługujący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Dynamic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Desktop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Protocol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(DDP</w:t>
      </w:r>
      <w:r w:rsidR="003A5900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B976B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A9055E"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24 sztuki</w:t>
      </w:r>
    </w:p>
    <w:p w14:paraId="195CF565" w14:textId="77777777" w:rsidR="00E46040" w:rsidRPr="00E46040" w:rsidRDefault="00E46040" w:rsidP="00A2382E">
      <w:pPr>
        <w:pStyle w:val="Bezodstpw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7E690AD" w14:textId="09A1D84F" w:rsidR="00A9055E" w:rsidRPr="00E46040" w:rsidRDefault="00A9055E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Komputer dla nauczyciela: 8</w:t>
      </w:r>
      <w:r w:rsidR="00E46040" w:rsidRPr="00E46040">
        <w:rPr>
          <w:rFonts w:cstheme="minorHAnsi"/>
          <w:sz w:val="24"/>
          <w:szCs w:val="24"/>
        </w:rPr>
        <w:t xml:space="preserve"> </w:t>
      </w:r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Procesor musi zapewnić wydajność oferowanego zestawu komputerowego, przy nominalnych parametrach pracy procesora (określonych przez producenta procesora) mierzoną za pomocą testu </w:t>
      </w:r>
      <w:proofErr w:type="spellStart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PassMark</w:t>
      </w:r>
      <w:proofErr w:type="spellEnd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 wartości minimum punktów w teście </w:t>
      </w:r>
      <w:proofErr w:type="spellStart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PassMark</w:t>
      </w:r>
      <w:proofErr w:type="spellEnd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CPU Mark 7 790pkt (</w:t>
      </w:r>
      <w:proofErr w:type="spellStart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PassMark</w:t>
      </w:r>
      <w:proofErr w:type="spellEnd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High End </w:t>
      </w:r>
      <w:proofErr w:type="spellStart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CPUs</w:t>
      </w:r>
      <w:proofErr w:type="spellEnd"/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) (</w:t>
      </w:r>
      <w:hyperlink r:id="rId8" w:history="1">
        <w:r w:rsidR="00E46040" w:rsidRPr="00E4604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https://www.cpubenchmark.net/cpu_list.php</w:t>
        </w:r>
      </w:hyperlink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). Procesor musi obsługiwać 64-bitowe systemy operacyjne 8 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GB RAM DDR4; dysk twardy 2</w:t>
      </w:r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>56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GB SSD; napęd DVD; Bluetooth,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WiFi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, HDMI, Windows 10</w:t>
      </w:r>
      <w:r w:rsidR="00E4604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 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sztuka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234901EF" w14:textId="54CC7025" w:rsidR="00BC1324" w:rsidRPr="00E46040" w:rsidRDefault="008E6DC0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Z</w:t>
      </w:r>
      <w:r w:rsidR="00BC1324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estaw klawiatura, mysz USB – </w:t>
      </w:r>
      <w:r w:rsidR="00BC1324"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25 sztuk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42DBF36F" w14:textId="2D1EDC61" w:rsidR="00BC1324" w:rsidRPr="00E46040" w:rsidRDefault="008E6DC0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S</w:t>
      </w:r>
      <w:r w:rsidR="00BC1324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łuchawki </w:t>
      </w:r>
      <w:r w:rsidR="00F24394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nauszne </w:t>
      </w:r>
      <w:r w:rsidR="003E3E00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mikrofonem </w:t>
      </w:r>
      <w:r w:rsidR="00BC1324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– </w:t>
      </w:r>
      <w:r w:rsidR="00BC1324"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24 sztuki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0B16B95A" w14:textId="1DF30DC5" w:rsidR="00A9055E" w:rsidRPr="00E46040" w:rsidRDefault="00BC1324" w:rsidP="00A2382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Oprogramowanie MS Office Standard 2019 EDU PL - licencja wieczysta 1 stanowisko –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25 sztuk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01D164E0" w14:textId="18F70F79" w:rsidR="00BC1324" w:rsidRPr="00E46040" w:rsidRDefault="00BC1324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Sprzęt sieciowy: 2 x </w:t>
      </w:r>
      <w:r w:rsidR="00C22106" w:rsidRPr="00E46040">
        <w:rPr>
          <w:rFonts w:eastAsia="Times New Roman" w:cstheme="minorHAnsi"/>
          <w:color w:val="333333"/>
          <w:sz w:val="24"/>
          <w:szCs w:val="24"/>
          <w:lang w:eastAsia="pl-PL"/>
        </w:rPr>
        <w:t>16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portowy </w:t>
      </w:r>
      <w:proofErr w:type="spellStart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switch</w:t>
      </w:r>
      <w:proofErr w:type="spellEnd"/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gigabitowy oraz router gigabitowy -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komplet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59179B2C" w14:textId="678567EE" w:rsidR="00BC1324" w:rsidRPr="00E46040" w:rsidRDefault="00BC1324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Zasilacz awaryjny UPS do serwerów -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sztuka</w:t>
      </w:r>
      <w:r w:rsidR="008E6DC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79A8D0DB" w14:textId="4BE78B50" w:rsidR="00BC1324" w:rsidRPr="00E46040" w:rsidRDefault="00BC1324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Instalacja, konfiguracja, usługa szkolenia z obsługi pracowni terminalowej oraz oprogramowania do zarządzania pracownią</w:t>
      </w:r>
      <w:r w:rsidR="007810F0"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1E4D1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5356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opcjonalnie </w:t>
      </w:r>
      <w:r w:rsidR="001E4D14">
        <w:t>m</w:t>
      </w:r>
      <w:r w:rsidR="001E4D14" w:rsidRPr="001E4D14">
        <w:rPr>
          <w:rFonts w:eastAsia="Times New Roman" w:cstheme="minorHAnsi"/>
          <w:color w:val="333333"/>
          <w:sz w:val="24"/>
          <w:szCs w:val="24"/>
          <w:lang w:eastAsia="pl-PL"/>
        </w:rPr>
        <w:t>ożliwość dostosowania do pracy zdalnej</w:t>
      </w:r>
      <w:r w:rsidR="00B976B7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19104701" w14:textId="2C3E0FE8" w:rsidR="007810F0" w:rsidRPr="00E46040" w:rsidRDefault="007810F0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Zdalne wsparcie posprzedażowe,</w:t>
      </w:r>
    </w:p>
    <w:p w14:paraId="31464E88" w14:textId="03CBA8CF" w:rsidR="007810F0" w:rsidRPr="00E46040" w:rsidRDefault="007810F0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Gwarancja na pracownię: 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36 miesięcy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5C616BA6" w14:textId="068C3174" w:rsidR="00726364" w:rsidRPr="00E46040" w:rsidRDefault="007810F0" w:rsidP="00A2382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Termin realizacji </w:t>
      </w:r>
      <w:r w:rsidR="00C22106"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 14</w:t>
      </w:r>
      <w:r w:rsidRPr="00E460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dni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od </w:t>
      </w:r>
      <w:r w:rsidR="00DD3BC5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dnia </w:t>
      </w:r>
      <w:r w:rsidRPr="00E46040">
        <w:rPr>
          <w:rFonts w:eastAsia="Times New Roman" w:cstheme="minorHAnsi"/>
          <w:color w:val="333333"/>
          <w:sz w:val="24"/>
          <w:szCs w:val="24"/>
          <w:lang w:eastAsia="pl-PL"/>
        </w:rPr>
        <w:t>podpisania umowy</w:t>
      </w:r>
      <w:r w:rsidR="007D1998" w:rsidRPr="00E460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sectPr w:rsidR="00726364" w:rsidRPr="00E460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27C2" w14:textId="77777777" w:rsidR="00FA2154" w:rsidRDefault="00FA2154" w:rsidP="00FA2154">
      <w:pPr>
        <w:spacing w:after="0" w:line="240" w:lineRule="auto"/>
      </w:pPr>
      <w:r>
        <w:separator/>
      </w:r>
    </w:p>
  </w:endnote>
  <w:endnote w:type="continuationSeparator" w:id="0">
    <w:p w14:paraId="48A09111" w14:textId="77777777" w:rsidR="00FA2154" w:rsidRDefault="00FA2154" w:rsidP="00F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9E4B" w14:textId="77777777" w:rsidR="00FA2154" w:rsidRDefault="00FA2154" w:rsidP="00FA2154">
      <w:pPr>
        <w:spacing w:after="0" w:line="240" w:lineRule="auto"/>
      </w:pPr>
      <w:r>
        <w:separator/>
      </w:r>
    </w:p>
  </w:footnote>
  <w:footnote w:type="continuationSeparator" w:id="0">
    <w:p w14:paraId="470CC80E" w14:textId="77777777" w:rsidR="00FA2154" w:rsidRDefault="00FA2154" w:rsidP="00F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FECE" w14:textId="5C40006A" w:rsidR="00FA2154" w:rsidRDefault="00FA2154">
    <w:pPr>
      <w:pStyle w:val="Nagwek"/>
    </w:pPr>
    <w:r w:rsidRPr="00FA2154">
      <w:rPr>
        <w:noProof/>
      </w:rPr>
      <w:drawing>
        <wp:inline distT="0" distB="0" distL="0" distR="0" wp14:anchorId="68D80078" wp14:editId="0622F650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800"/>
    <w:multiLevelType w:val="multilevel"/>
    <w:tmpl w:val="213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C4F50"/>
    <w:multiLevelType w:val="multilevel"/>
    <w:tmpl w:val="F3A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A72F8"/>
    <w:multiLevelType w:val="multilevel"/>
    <w:tmpl w:val="C75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70513"/>
    <w:multiLevelType w:val="hybridMultilevel"/>
    <w:tmpl w:val="CBE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1A78"/>
    <w:multiLevelType w:val="multilevel"/>
    <w:tmpl w:val="38C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03F2A"/>
    <w:multiLevelType w:val="multilevel"/>
    <w:tmpl w:val="CBDC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B0867"/>
    <w:multiLevelType w:val="hybridMultilevel"/>
    <w:tmpl w:val="F7B6A006"/>
    <w:lvl w:ilvl="0" w:tplc="9A80C1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A1"/>
    <w:rsid w:val="0004382A"/>
    <w:rsid w:val="001E4D14"/>
    <w:rsid w:val="0025356D"/>
    <w:rsid w:val="00296296"/>
    <w:rsid w:val="0036059B"/>
    <w:rsid w:val="00390173"/>
    <w:rsid w:val="003A5900"/>
    <w:rsid w:val="003E3E00"/>
    <w:rsid w:val="005D7308"/>
    <w:rsid w:val="00703B85"/>
    <w:rsid w:val="00726364"/>
    <w:rsid w:val="007810F0"/>
    <w:rsid w:val="007D1998"/>
    <w:rsid w:val="0087053E"/>
    <w:rsid w:val="008E6DC0"/>
    <w:rsid w:val="00A2382E"/>
    <w:rsid w:val="00A4186F"/>
    <w:rsid w:val="00A9055E"/>
    <w:rsid w:val="00AC362A"/>
    <w:rsid w:val="00AC5BA1"/>
    <w:rsid w:val="00AE25A1"/>
    <w:rsid w:val="00B976B7"/>
    <w:rsid w:val="00BC1324"/>
    <w:rsid w:val="00C22106"/>
    <w:rsid w:val="00C35E84"/>
    <w:rsid w:val="00C929D9"/>
    <w:rsid w:val="00D57E40"/>
    <w:rsid w:val="00DD3BC5"/>
    <w:rsid w:val="00E46040"/>
    <w:rsid w:val="00EB1A4E"/>
    <w:rsid w:val="00EB7DD7"/>
    <w:rsid w:val="00F24394"/>
    <w:rsid w:val="00F73CE1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BF6A"/>
  <w15:docId w15:val="{59000CB8-8969-4240-AE99-74F83E3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54"/>
  </w:style>
  <w:style w:type="paragraph" w:styleId="Stopka">
    <w:name w:val="footer"/>
    <w:basedOn w:val="Normalny"/>
    <w:link w:val="StopkaZnak"/>
    <w:uiPriority w:val="99"/>
    <w:unhideWhenUsed/>
    <w:rsid w:val="00F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54"/>
  </w:style>
  <w:style w:type="character" w:styleId="Hipercze">
    <w:name w:val="Hyperlink"/>
    <w:basedOn w:val="Domylnaczcionkaakapitu"/>
    <w:uiPriority w:val="99"/>
    <w:unhideWhenUsed/>
    <w:rsid w:val="00C221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10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21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Solon</dc:creator>
  <cp:lastModifiedBy>Wiesław Andruch</cp:lastModifiedBy>
  <cp:revision>5</cp:revision>
  <cp:lastPrinted>2020-10-27T08:57:00Z</cp:lastPrinted>
  <dcterms:created xsi:type="dcterms:W3CDTF">2020-10-26T14:20:00Z</dcterms:created>
  <dcterms:modified xsi:type="dcterms:W3CDTF">2020-10-27T08:59:00Z</dcterms:modified>
</cp:coreProperties>
</file>