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w:t>
      </w:r>
      <w:proofErr w:type="spellStart"/>
      <w:r>
        <w:rPr>
          <w:sz w:val="24"/>
          <w:szCs w:val="24"/>
        </w:rPr>
        <w:t>Dz.U</w:t>
      </w:r>
      <w:proofErr w:type="spellEnd"/>
      <w:r>
        <w:rPr>
          <w:sz w:val="24"/>
          <w:szCs w:val="24"/>
        </w:rPr>
        <w:t>. z 2013</w:t>
      </w:r>
      <w:r w:rsidR="00E918E1">
        <w:rPr>
          <w:sz w:val="24"/>
          <w:szCs w:val="24"/>
        </w:rPr>
        <w:t xml:space="preserve"> </w:t>
      </w:r>
      <w:proofErr w:type="spellStart"/>
      <w:r>
        <w:rPr>
          <w:sz w:val="24"/>
          <w:szCs w:val="24"/>
        </w:rPr>
        <w:t>poz</w:t>
      </w:r>
      <w:proofErr w:type="spellEnd"/>
      <w:r>
        <w:rPr>
          <w:sz w:val="24"/>
          <w:szCs w:val="24"/>
        </w:rPr>
        <w:t xml:space="preserve">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bookmarkStart w:id="0" w:name="_GoBack"/>
      <w:bookmarkEnd w:id="0"/>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lastRenderedPageBreak/>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 xml:space="preserve">w pierwszej kolejności w drodze porozumienia stron. W przypadku braku takiego porozumienia, tj. po upływie 31 dni od przekazania propozycji rozwiązania, wszelkie spory </w:t>
      </w:r>
      <w:r>
        <w:rPr>
          <w:sz w:val="24"/>
          <w:szCs w:val="24"/>
        </w:rPr>
        <w:lastRenderedPageBreak/>
        <w:t>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03778"/>
    <w:rsid w:val="008B7014"/>
    <w:rsid w:val="00934039"/>
    <w:rsid w:val="009C39DF"/>
    <w:rsid w:val="009E4A8D"/>
    <w:rsid w:val="00A16FFD"/>
    <w:rsid w:val="00A9369A"/>
    <w:rsid w:val="00AE20DF"/>
    <w:rsid w:val="00AE761F"/>
    <w:rsid w:val="00B304E8"/>
    <w:rsid w:val="00B41C0E"/>
    <w:rsid w:val="00C111C3"/>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4695</Words>
  <Characters>28170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3</cp:revision>
  <dcterms:created xsi:type="dcterms:W3CDTF">2014-11-05T10:20:00Z</dcterms:created>
  <dcterms:modified xsi:type="dcterms:W3CDTF">2014-11-05T12:02:00Z</dcterms:modified>
</cp:coreProperties>
</file>