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7F63EE">
        <w:rPr>
          <w:sz w:val="24"/>
          <w:szCs w:val="24"/>
        </w:rPr>
        <w:t>5.2164</w:t>
      </w:r>
      <w:r w:rsidR="004B6075">
        <w:rPr>
          <w:sz w:val="24"/>
          <w:szCs w:val="24"/>
        </w:rPr>
        <w:t>)</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Pr="007F63EE" w:rsidRDefault="0018736C" w:rsidP="007F63EE">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Pr="00DB4858" w:rsidRDefault="0018736C" w:rsidP="00DB4858">
      <w:pPr>
        <w:numPr>
          <w:ilvl w:val="0"/>
          <w:numId w:val="4"/>
        </w:numPr>
        <w:spacing w:line="360" w:lineRule="auto"/>
        <w:jc w:val="both"/>
        <w:rPr>
          <w:sz w:val="24"/>
          <w:szCs w:val="24"/>
        </w:rPr>
      </w:pPr>
      <w:r>
        <w:rPr>
          <w:sz w:val="24"/>
          <w:szCs w:val="24"/>
        </w:rPr>
        <w:t>STWiOR;</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r w:rsidRPr="0070609B">
        <w:rPr>
          <w:sz w:val="24"/>
          <w:szCs w:val="24"/>
        </w:rPr>
        <w:t>STWiOR</w:t>
      </w:r>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oraz STWiOR;</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dokumentacją projektową i STWiOR,</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oraz przekazaną dokumentacją projektową i STWiOR,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r>
      <w:r>
        <w:rPr>
          <w:sz w:val="24"/>
          <w:szCs w:val="24"/>
        </w:rPr>
        <w:lastRenderedPageBreak/>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lastRenderedPageBreak/>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w:t>
      </w:r>
      <w:r w:rsidRPr="006E48F6">
        <w:rPr>
          <w:sz w:val="24"/>
          <w:szCs w:val="24"/>
          <w:lang w:eastAsia="en-US"/>
        </w:rPr>
        <w:lastRenderedPageBreak/>
        <w:t xml:space="preserve">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a,b,c,d ( Dz.U. z 201</w:t>
      </w:r>
      <w:r w:rsidR="007F63EE">
        <w:rPr>
          <w:sz w:val="24"/>
          <w:szCs w:val="24"/>
        </w:rPr>
        <w:t>5.2164</w:t>
      </w:r>
      <w:r>
        <w:rPr>
          <w:sz w:val="24"/>
          <w:szCs w:val="24"/>
        </w:rPr>
        <w:t>)</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W zakresie realizacji przedmiotu umowy Wykonawcę reprezentuje ustanowiony przez niego kierownik robót w osobie ………………. nr uprawnień …………….. tel……………………</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lastRenderedPageBreak/>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lastRenderedPageBreak/>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do robót oraz dostarczenie wymaganych uprawnień zgodnie z STWiOR;</w:t>
      </w:r>
    </w:p>
    <w:p w:rsidR="0018736C" w:rsidRDefault="0018736C" w:rsidP="00552ABD">
      <w:pPr>
        <w:numPr>
          <w:ilvl w:val="0"/>
          <w:numId w:val="27"/>
        </w:numPr>
        <w:spacing w:line="360" w:lineRule="auto"/>
        <w:jc w:val="both"/>
        <w:rPr>
          <w:sz w:val="24"/>
          <w:szCs w:val="24"/>
        </w:rPr>
      </w:pPr>
      <w:r>
        <w:rPr>
          <w:sz w:val="24"/>
          <w:szCs w:val="24"/>
        </w:rPr>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lastRenderedPageBreak/>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Odbiór końcowy powinien być stwierdzony na piśmie w formie protokołu podpisanego 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lastRenderedPageBreak/>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lastRenderedPageBreak/>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Należność za wykonanie przedmiotu umowy płatna jest przelewem na rachunek bankowy Wykonawcy, wskazany w fakturze VAT, w terminie 30 dni od dnia doręczenia Zamawiającemu prawidłowo wystawionej faktury wraz z dokumentami rozliczeniowymi: tj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lastRenderedPageBreak/>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t xml:space="preserve">na wykonane roboty budowlane </w:t>
      </w:r>
      <w:r w:rsidR="0018736C">
        <w:rPr>
          <w:sz w:val="24"/>
          <w:szCs w:val="24"/>
        </w:rPr>
        <w:t xml:space="preserve">: na co najmniej </w:t>
      </w:r>
      <w:r>
        <w:rPr>
          <w:sz w:val="24"/>
          <w:szCs w:val="24"/>
        </w:rPr>
        <w:t>……</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lastRenderedPageBreak/>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lastRenderedPageBreak/>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lastRenderedPageBreak/>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t>STWiOR;</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lastRenderedPageBreak/>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21AD7F8"/>
    <w:lvl w:ilvl="0">
      <w:start w:val="1"/>
      <w:numFmt w:val="decimal"/>
      <w:lvlText w:val="%1."/>
      <w:lvlJc w:val="left"/>
      <w:pPr>
        <w:tabs>
          <w:tab w:val="num" w:pos="643"/>
        </w:tabs>
        <w:ind w:left="643" w:hanging="360"/>
      </w:pPr>
    </w:lvl>
  </w:abstractNum>
  <w:abstractNum w:abstractNumId="1" w15:restartNumberingAfterBreak="0">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15:restartNumberingAfterBreak="0">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1765"/>
    <w:rsid w:val="003B2D7E"/>
    <w:rsid w:val="00454664"/>
    <w:rsid w:val="0048408F"/>
    <w:rsid w:val="004B6075"/>
    <w:rsid w:val="00552ABD"/>
    <w:rsid w:val="00557619"/>
    <w:rsid w:val="005A1CFE"/>
    <w:rsid w:val="005B6805"/>
    <w:rsid w:val="005C216C"/>
    <w:rsid w:val="005C6D46"/>
    <w:rsid w:val="005C6E11"/>
    <w:rsid w:val="006925B6"/>
    <w:rsid w:val="006A2D1A"/>
    <w:rsid w:val="006C0225"/>
    <w:rsid w:val="006E48F6"/>
    <w:rsid w:val="0070609B"/>
    <w:rsid w:val="00790E30"/>
    <w:rsid w:val="007B50BA"/>
    <w:rsid w:val="007C7FA5"/>
    <w:rsid w:val="007F63EE"/>
    <w:rsid w:val="00803778"/>
    <w:rsid w:val="008B7014"/>
    <w:rsid w:val="00934039"/>
    <w:rsid w:val="009C39DF"/>
    <w:rsid w:val="009E4A8D"/>
    <w:rsid w:val="00A16FFD"/>
    <w:rsid w:val="00A55B9C"/>
    <w:rsid w:val="00A9369A"/>
    <w:rsid w:val="00AE20DF"/>
    <w:rsid w:val="00AE761F"/>
    <w:rsid w:val="00B304E8"/>
    <w:rsid w:val="00B41C0E"/>
    <w:rsid w:val="00BC27BF"/>
    <w:rsid w:val="00C111C3"/>
    <w:rsid w:val="00D34EFB"/>
    <w:rsid w:val="00D81726"/>
    <w:rsid w:val="00DB4858"/>
    <w:rsid w:val="00DE5C8C"/>
    <w:rsid w:val="00E918E1"/>
    <w:rsid w:val="00F05F69"/>
    <w:rsid w:val="00F162A5"/>
    <w:rsid w:val="00F51F85"/>
    <w:rsid w:val="00F91EBE"/>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4631</Words>
  <Characters>27786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2016-07-19T12:47:00Z</dcterms:created>
  <dcterms:modified xsi:type="dcterms:W3CDTF">2016-07-19T12:47:00Z</dcterms:modified>
</cp:coreProperties>
</file>